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2C0" w:rsidRPr="00ED0329" w:rsidRDefault="003C12C0" w:rsidP="003C12C0">
      <w:pPr>
        <w:jc w:val="center"/>
        <w:rPr>
          <w:rFonts w:cs="Times New Roman"/>
          <w:szCs w:val="24"/>
        </w:rPr>
      </w:pPr>
      <w:r w:rsidRPr="00ED0329">
        <w:rPr>
          <w:rFonts w:cs="Times New Roman"/>
          <w:szCs w:val="24"/>
        </w:rPr>
        <w:t>Student’s name</w:t>
      </w:r>
    </w:p>
    <w:p w:rsidR="003C12C0" w:rsidRPr="00ED0329" w:rsidRDefault="003C12C0" w:rsidP="003C12C0">
      <w:pPr>
        <w:jc w:val="center"/>
        <w:rPr>
          <w:rFonts w:cs="Times New Roman"/>
          <w:szCs w:val="24"/>
        </w:rPr>
      </w:pPr>
      <w:r w:rsidRPr="00ED0329">
        <w:rPr>
          <w:rFonts w:cs="Times New Roman"/>
          <w:szCs w:val="24"/>
        </w:rPr>
        <w:t>Institution Affiliation</w:t>
      </w:r>
    </w:p>
    <w:p w:rsidR="003C12C0" w:rsidRPr="00ED0329" w:rsidRDefault="003C12C0" w:rsidP="003C12C0">
      <w:pPr>
        <w:jc w:val="center"/>
        <w:rPr>
          <w:rFonts w:cs="Times New Roman"/>
          <w:szCs w:val="24"/>
        </w:rPr>
      </w:pPr>
      <w:r w:rsidRPr="00ED0329">
        <w:rPr>
          <w:rFonts w:cs="Times New Roman"/>
          <w:szCs w:val="24"/>
        </w:rPr>
        <w:t>Course</w:t>
      </w:r>
    </w:p>
    <w:p w:rsidR="003C12C0" w:rsidRPr="00ED0329" w:rsidRDefault="003C12C0" w:rsidP="003C12C0">
      <w:pPr>
        <w:jc w:val="center"/>
        <w:rPr>
          <w:rFonts w:cs="Times New Roman"/>
          <w:szCs w:val="24"/>
        </w:rPr>
      </w:pPr>
      <w:r w:rsidRPr="00ED0329">
        <w:rPr>
          <w:rFonts w:cs="Times New Roman"/>
          <w:szCs w:val="24"/>
        </w:rPr>
        <w:t>Date</w:t>
      </w: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3C12C0" w:rsidRPr="00ED0329" w:rsidRDefault="003C12C0">
      <w:pPr>
        <w:rPr>
          <w:rFonts w:cs="Times New Roman"/>
          <w:szCs w:val="24"/>
        </w:rPr>
      </w:pPr>
    </w:p>
    <w:p w:rsidR="007A0429" w:rsidRPr="00ED0329" w:rsidRDefault="006613A6">
      <w:pPr>
        <w:rPr>
          <w:rFonts w:cs="Times New Roman"/>
          <w:szCs w:val="24"/>
        </w:rPr>
      </w:pPr>
      <w:r w:rsidRPr="00ED0329">
        <w:rPr>
          <w:rFonts w:cs="Times New Roman"/>
          <w:szCs w:val="24"/>
        </w:rPr>
        <w:t xml:space="preserve">The </w:t>
      </w:r>
      <w:r w:rsidR="009F3A20" w:rsidRPr="00ED0329">
        <w:rPr>
          <w:rFonts w:cs="Times New Roman"/>
          <w:szCs w:val="24"/>
        </w:rPr>
        <w:t xml:space="preserve">MACD for the Dow has </w:t>
      </w:r>
      <w:r w:rsidR="003C12C0" w:rsidRPr="00ED0329">
        <w:rPr>
          <w:rFonts w:cs="Times New Roman"/>
          <w:szCs w:val="24"/>
        </w:rPr>
        <w:t>been on</w:t>
      </w:r>
      <w:r w:rsidR="00BB00B2" w:rsidRPr="00ED0329">
        <w:rPr>
          <w:rFonts w:cs="Times New Roman"/>
          <w:szCs w:val="24"/>
        </w:rPr>
        <w:t xml:space="preserve"> constant </w:t>
      </w:r>
      <w:r w:rsidR="0098525C" w:rsidRPr="00ED0329">
        <w:rPr>
          <w:rFonts w:cs="Times New Roman"/>
          <w:szCs w:val="24"/>
        </w:rPr>
        <w:t>increase from</w:t>
      </w:r>
      <w:r w:rsidRPr="00ED0329">
        <w:rPr>
          <w:rFonts w:cs="Times New Roman"/>
          <w:szCs w:val="24"/>
        </w:rPr>
        <w:t xml:space="preserve"> </w:t>
      </w:r>
      <w:r w:rsidR="0001350A" w:rsidRPr="00ED0329">
        <w:rPr>
          <w:rFonts w:cs="Times New Roman"/>
          <w:szCs w:val="24"/>
        </w:rPr>
        <w:t>May</w:t>
      </w:r>
      <w:r w:rsidRPr="00ED0329">
        <w:rPr>
          <w:rFonts w:cs="Times New Roman"/>
          <w:szCs w:val="24"/>
        </w:rPr>
        <w:t xml:space="preserve"> 2019, but declined </w:t>
      </w:r>
      <w:r w:rsidR="00BB00B2" w:rsidRPr="00ED0329">
        <w:rPr>
          <w:rFonts w:cs="Times New Roman"/>
          <w:szCs w:val="24"/>
        </w:rPr>
        <w:t>on   Ma</w:t>
      </w:r>
      <w:r w:rsidRPr="00ED0329">
        <w:rPr>
          <w:rFonts w:cs="Times New Roman"/>
          <w:szCs w:val="24"/>
        </w:rPr>
        <w:t>rch 2020 owing to the virus.</w:t>
      </w:r>
      <w:r w:rsidR="009F3A20" w:rsidRPr="00ED0329">
        <w:rPr>
          <w:rFonts w:cs="Times New Roman"/>
          <w:szCs w:val="24"/>
        </w:rPr>
        <w:t xml:space="preserve"> </w:t>
      </w:r>
      <w:r w:rsidR="00B82567" w:rsidRPr="00ED0329">
        <w:rPr>
          <w:rFonts w:cs="Times New Roman"/>
          <w:szCs w:val="24"/>
        </w:rPr>
        <w:t xml:space="preserve"> </w:t>
      </w:r>
      <w:r w:rsidR="0098525C" w:rsidRPr="00ED0329">
        <w:rPr>
          <w:rFonts w:cs="Times New Roman"/>
          <w:szCs w:val="24"/>
        </w:rPr>
        <w:t>C</w:t>
      </w:r>
      <w:r w:rsidR="00BB00B2" w:rsidRPr="00ED0329">
        <w:rPr>
          <w:rFonts w:cs="Times New Roman"/>
          <w:szCs w:val="24"/>
        </w:rPr>
        <w:t>ompany’s</w:t>
      </w:r>
      <w:r w:rsidR="00B82567" w:rsidRPr="00ED0329">
        <w:rPr>
          <w:rFonts w:cs="Times New Roman"/>
          <w:szCs w:val="24"/>
        </w:rPr>
        <w:t xml:space="preserve"> earning has been on constant rise on average, with</w:t>
      </w:r>
      <w:r w:rsidR="0001350A" w:rsidRPr="00ED0329">
        <w:rPr>
          <w:rFonts w:cs="Times New Roman"/>
          <w:szCs w:val="24"/>
        </w:rPr>
        <w:t xml:space="preserve"> fall-</w:t>
      </w:r>
      <w:r w:rsidR="00B82567" w:rsidRPr="00ED0329">
        <w:rPr>
          <w:rFonts w:cs="Times New Roman"/>
          <w:szCs w:val="24"/>
        </w:rPr>
        <w:t xml:space="preserve"> off </w:t>
      </w:r>
      <w:r w:rsidR="0001350A" w:rsidRPr="00ED0329">
        <w:rPr>
          <w:rFonts w:cs="Times New Roman"/>
          <w:szCs w:val="24"/>
        </w:rPr>
        <w:t>earnings</w:t>
      </w:r>
      <w:r w:rsidR="00B82567" w:rsidRPr="00ED0329">
        <w:rPr>
          <w:rFonts w:cs="Times New Roman"/>
          <w:szCs w:val="24"/>
        </w:rPr>
        <w:t xml:space="preserve"> </w:t>
      </w:r>
      <w:r w:rsidR="003C12C0" w:rsidRPr="00ED0329">
        <w:rPr>
          <w:rFonts w:cs="Times New Roman"/>
          <w:szCs w:val="24"/>
        </w:rPr>
        <w:t>being recorded</w:t>
      </w:r>
      <w:r w:rsidR="00B82567" w:rsidRPr="00ED0329">
        <w:rPr>
          <w:rFonts w:cs="Times New Roman"/>
          <w:szCs w:val="24"/>
        </w:rPr>
        <w:t xml:space="preserve"> in </w:t>
      </w:r>
      <w:r w:rsidR="00BB00B2" w:rsidRPr="00ED0329">
        <w:rPr>
          <w:rFonts w:cs="Times New Roman"/>
          <w:szCs w:val="24"/>
        </w:rPr>
        <w:t>2007</w:t>
      </w:r>
      <w:r w:rsidR="00ED0329" w:rsidRPr="00ED0329">
        <w:rPr>
          <w:rFonts w:cs="Times New Roman"/>
          <w:szCs w:val="24"/>
        </w:rPr>
        <w:t>-2008</w:t>
      </w:r>
      <w:r w:rsidR="00BB00B2" w:rsidRPr="00ED0329">
        <w:rPr>
          <w:rFonts w:cs="Times New Roman"/>
          <w:szCs w:val="24"/>
        </w:rPr>
        <w:t xml:space="preserve"> and </w:t>
      </w:r>
      <w:r w:rsidR="00ED0329" w:rsidRPr="00ED0329">
        <w:rPr>
          <w:rFonts w:cs="Times New Roman"/>
          <w:szCs w:val="24"/>
        </w:rPr>
        <w:t>2014-</w:t>
      </w:r>
      <w:r w:rsidR="00BB00B2" w:rsidRPr="00ED0329">
        <w:rPr>
          <w:rFonts w:cs="Times New Roman"/>
          <w:szCs w:val="24"/>
        </w:rPr>
        <w:t>201</w:t>
      </w:r>
      <w:r w:rsidR="0001350A" w:rsidRPr="00ED0329">
        <w:rPr>
          <w:rFonts w:cs="Times New Roman"/>
          <w:szCs w:val="24"/>
        </w:rPr>
        <w:t>5.</w:t>
      </w:r>
      <w:r w:rsidR="0098525C" w:rsidRPr="00ED0329">
        <w:rPr>
          <w:rFonts w:cs="Times New Roman"/>
          <w:szCs w:val="24"/>
        </w:rPr>
        <w:t xml:space="preserve"> S</w:t>
      </w:r>
      <w:r w:rsidR="005B2C55" w:rsidRPr="00ED0329">
        <w:rPr>
          <w:rFonts w:cs="Times New Roman"/>
          <w:szCs w:val="24"/>
        </w:rPr>
        <w:t xml:space="preserve">imilar comparable period   to the period </w:t>
      </w:r>
      <w:r w:rsidR="00BB00B2" w:rsidRPr="00ED0329">
        <w:rPr>
          <w:rFonts w:cs="Times New Roman"/>
          <w:szCs w:val="24"/>
        </w:rPr>
        <w:t>just before</w:t>
      </w:r>
      <w:r w:rsidR="005B2C55" w:rsidRPr="00ED0329">
        <w:rPr>
          <w:rFonts w:cs="Times New Roman"/>
          <w:szCs w:val="24"/>
        </w:rPr>
        <w:t xml:space="preserve"> pandemic </w:t>
      </w:r>
      <w:r w:rsidR="00920683" w:rsidRPr="00ED0329">
        <w:rPr>
          <w:rFonts w:cs="Times New Roman"/>
          <w:szCs w:val="24"/>
        </w:rPr>
        <w:t>is March 2018-</w:t>
      </w:r>
      <w:r w:rsidR="005B2C55" w:rsidRPr="00ED0329">
        <w:rPr>
          <w:rFonts w:cs="Times New Roman"/>
          <w:szCs w:val="24"/>
        </w:rPr>
        <w:t xml:space="preserve"> 2019.</w:t>
      </w:r>
      <w:r w:rsidR="0098525C" w:rsidRPr="00ED0329">
        <w:rPr>
          <w:rFonts w:cs="Times New Roman"/>
          <w:szCs w:val="24"/>
        </w:rPr>
        <w:t xml:space="preserve"> The third quarter was characterized by similar harsh-market conditions as March 2020-2021 period, with interest rate cuts and increased pay-role reports-3.1% wage growth.</w:t>
      </w:r>
      <w:r w:rsidR="005B2C55" w:rsidRPr="00ED0329">
        <w:rPr>
          <w:rFonts w:cs="Times New Roman"/>
          <w:szCs w:val="24"/>
        </w:rPr>
        <w:t xml:space="preserve"> </w:t>
      </w:r>
      <w:r w:rsidR="00BB00B2" w:rsidRPr="00ED0329">
        <w:rPr>
          <w:rFonts w:cs="Times New Roman"/>
          <w:szCs w:val="24"/>
        </w:rPr>
        <w:t>The con</w:t>
      </w:r>
      <w:r w:rsidR="0098525C" w:rsidRPr="00ED0329">
        <w:rPr>
          <w:rFonts w:cs="Times New Roman"/>
          <w:szCs w:val="24"/>
        </w:rPr>
        <w:t xml:space="preserve"> of this comparison is that prevailing conditions are bound to change, making comparison invalid</w:t>
      </w:r>
      <w:r w:rsidR="005B2C55" w:rsidRPr="00ED0329">
        <w:rPr>
          <w:rFonts w:cs="Times New Roman"/>
          <w:szCs w:val="24"/>
        </w:rPr>
        <w:t>.</w:t>
      </w:r>
    </w:p>
    <w:p w:rsidR="00BB00B2" w:rsidRPr="00ED0329" w:rsidRDefault="00BB00B2">
      <w:pPr>
        <w:rPr>
          <w:rFonts w:cs="Times New Roman"/>
          <w:szCs w:val="24"/>
        </w:rPr>
      </w:pPr>
      <w:r w:rsidRPr="00ED0329">
        <w:rPr>
          <w:rFonts w:cs="Times New Roman"/>
          <w:szCs w:val="24"/>
        </w:rPr>
        <w:t xml:space="preserve">Sources: </w:t>
      </w:r>
    </w:p>
    <w:p w:rsidR="00ED0329" w:rsidRPr="00ED0329" w:rsidRDefault="00ED0329" w:rsidP="00ED032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ED0329">
        <w:rPr>
          <w:rFonts w:cs="Times New Roman"/>
          <w:color w:val="222222"/>
          <w:szCs w:val="24"/>
          <w:shd w:val="clear" w:color="auto" w:fill="FFFFFF"/>
        </w:rPr>
        <w:t>Non-cyclicals, P. I. P. C., &amp; Cyclicals, N. I. N. C. Focus List Stocks: Long–Update 4/30/20. </w:t>
      </w:r>
      <w:r w:rsidRPr="00ED0329">
        <w:rPr>
          <w:rFonts w:cs="Times New Roman"/>
          <w:i/>
          <w:iCs/>
          <w:color w:val="222222"/>
          <w:szCs w:val="24"/>
          <w:shd w:val="clear" w:color="auto" w:fill="FFFFFF"/>
        </w:rPr>
        <w:t>LEA</w:t>
      </w:r>
      <w:r w:rsidRPr="00ED0329">
        <w:rPr>
          <w:rFonts w:cs="Times New Roman"/>
          <w:color w:val="222222"/>
          <w:szCs w:val="24"/>
          <w:shd w:val="clear" w:color="auto" w:fill="FFFFFF"/>
        </w:rPr>
        <w:t>, </w:t>
      </w:r>
      <w:r w:rsidRPr="00ED0329">
        <w:rPr>
          <w:rFonts w:cs="Times New Roman"/>
          <w:i/>
          <w:iCs/>
          <w:color w:val="222222"/>
          <w:szCs w:val="24"/>
          <w:shd w:val="clear" w:color="auto" w:fill="FFFFFF"/>
        </w:rPr>
        <w:t>100</w:t>
      </w:r>
      <w:r w:rsidRPr="00ED0329">
        <w:rPr>
          <w:rFonts w:cs="Times New Roman"/>
          <w:color w:val="222222"/>
          <w:szCs w:val="24"/>
          <w:shd w:val="clear" w:color="auto" w:fill="FFFFFF"/>
        </w:rPr>
        <w:t>(45.0), 55-7.</w:t>
      </w:r>
    </w:p>
    <w:p w:rsidR="00ED0329" w:rsidRPr="00ED0329" w:rsidRDefault="00ED0329">
      <w:pPr>
        <w:rPr>
          <w:rFonts w:cs="Times New Roman"/>
          <w:color w:val="222222"/>
          <w:szCs w:val="24"/>
          <w:shd w:val="clear" w:color="auto" w:fill="FFFFFF"/>
        </w:rPr>
      </w:pPr>
      <w:r w:rsidRPr="00ED0329">
        <w:rPr>
          <w:rFonts w:cs="Times New Roman"/>
          <w:color w:val="222222"/>
          <w:szCs w:val="24"/>
          <w:shd w:val="clear" w:color="auto" w:fill="FFFFFF"/>
        </w:rPr>
        <w:t>Eason, D., Drose, T., Dyson, I., &amp; Edwards, L. Darden Restaurant Analysis.</w:t>
      </w:r>
    </w:p>
    <w:p w:rsidR="00ED0329" w:rsidRPr="00ED0329" w:rsidRDefault="00ED0329">
      <w:pPr>
        <w:rPr>
          <w:rFonts w:cs="Times New Roman"/>
          <w:szCs w:val="24"/>
        </w:rPr>
      </w:pPr>
      <w:hyperlink r:id="rId6" w:history="1">
        <w:r w:rsidRPr="00ED0329">
          <w:rPr>
            <w:rStyle w:val="Hyperlink"/>
            <w:rFonts w:cs="Times New Roman"/>
            <w:szCs w:val="24"/>
          </w:rPr>
          <w:t>https://www.marketwatch.com/investing/stock/dri/charts</w:t>
        </w:r>
      </w:hyperlink>
    </w:p>
    <w:p w:rsidR="00ED0329" w:rsidRPr="00ED0329" w:rsidRDefault="00ED0329">
      <w:pPr>
        <w:rPr>
          <w:rFonts w:cs="Times New Roman"/>
          <w:szCs w:val="24"/>
        </w:rPr>
      </w:pPr>
      <w:hyperlink r:id="rId7" w:history="1">
        <w:r w:rsidRPr="00ED0329">
          <w:rPr>
            <w:rStyle w:val="Hyperlink"/>
            <w:rFonts w:cs="Times New Roman"/>
            <w:szCs w:val="24"/>
          </w:rPr>
          <w:t>https://finance.yahoo.com/quote/DRI/financials?p=DRI</w:t>
        </w:r>
      </w:hyperlink>
    </w:p>
    <w:p w:rsidR="00ED0329" w:rsidRDefault="00ED0329" w:rsidP="00ED0329">
      <w:pPr>
        <w:pStyle w:val="NormalWeb"/>
        <w:shd w:val="clear" w:color="auto" w:fill="FFFFFF"/>
        <w:spacing w:before="0" w:beforeAutospacing="0" w:after="0" w:afterAutospacing="0" w:line="550" w:lineRule="atLeast"/>
        <w:ind w:left="720" w:right="75" w:hanging="720"/>
        <w:rPr>
          <w:color w:val="000000"/>
        </w:rPr>
      </w:pPr>
      <w:r w:rsidRPr="00ED0329">
        <w:rPr>
          <w:color w:val="000000"/>
        </w:rPr>
        <w:t>Cox, J. (2019, July 5). </w:t>
      </w:r>
      <w:r w:rsidRPr="00ED0329">
        <w:rPr>
          <w:rStyle w:val="Emphasis"/>
          <w:color w:val="000000"/>
        </w:rPr>
        <w:t>Strong job growth is back: Payrolls Jump in June well above expectations</w:t>
      </w:r>
      <w:r w:rsidRPr="00ED0329">
        <w:rPr>
          <w:color w:val="000000"/>
        </w:rPr>
        <w:t>. CNBC. </w:t>
      </w:r>
      <w:hyperlink r:id="rId8" w:history="1">
        <w:r w:rsidRPr="00ED0329">
          <w:rPr>
            <w:rStyle w:val="Hyperlink"/>
            <w:color w:val="000000"/>
          </w:rPr>
          <w:t>https://www.cnbc.com/2019/07/05/jobs-report-june-2019.html</w:t>
        </w:r>
      </w:hyperlink>
    </w:p>
    <w:p w:rsidR="00ED0329" w:rsidRDefault="00ED0329" w:rsidP="00ED0329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</w:p>
    <w:p w:rsidR="00ED0329" w:rsidRPr="00ED0329" w:rsidRDefault="00ED0329" w:rsidP="00ED0329">
      <w:pPr>
        <w:pStyle w:val="NormalWeb"/>
        <w:shd w:val="clear" w:color="auto" w:fill="FFFFFF"/>
        <w:spacing w:before="0" w:beforeAutospacing="0" w:after="0" w:afterAutospacing="0" w:line="480" w:lineRule="auto"/>
        <w:ind w:left="720" w:right="75" w:hanging="720"/>
        <w:rPr>
          <w:color w:val="000000"/>
        </w:rPr>
      </w:pPr>
      <w:bookmarkStart w:id="0" w:name="_GoBack"/>
      <w:bookmarkEnd w:id="0"/>
      <w:r w:rsidRPr="00ED0329">
        <w:rPr>
          <w:color w:val="000000"/>
        </w:rPr>
        <w:t>United States Securities Exchange Commission. (2020, May 31). </w:t>
      </w:r>
      <w:r w:rsidRPr="00ED0329">
        <w:rPr>
          <w:rStyle w:val="Emphasis"/>
          <w:color w:val="000000"/>
        </w:rPr>
        <w:t>ANNUAL REPORT PURSUANT TO SECTION 13 OR 15(d) OF THE SECURITIES EXCHANGE ACT OF 1934-Darden Restaurant Inc</w:t>
      </w:r>
      <w:r w:rsidRPr="00ED0329">
        <w:rPr>
          <w:color w:val="000000"/>
        </w:rPr>
        <w:t>. Retrieved October 4, 2020, from </w:t>
      </w:r>
      <w:hyperlink r:id="rId9" w:history="1">
        <w:r w:rsidRPr="00ED0329">
          <w:rPr>
            <w:rStyle w:val="Hyperlink"/>
            <w:color w:val="000000"/>
          </w:rPr>
          <w:t>https://www.sec.gov/</w:t>
        </w:r>
      </w:hyperlink>
    </w:p>
    <w:p w:rsidR="005B2C55" w:rsidRPr="00ED0329" w:rsidRDefault="005B2C55">
      <w:pPr>
        <w:rPr>
          <w:rFonts w:cs="Times New Roman"/>
          <w:szCs w:val="24"/>
        </w:rPr>
      </w:pPr>
    </w:p>
    <w:p w:rsidR="0001350A" w:rsidRPr="00ED0329" w:rsidRDefault="0001350A">
      <w:pPr>
        <w:rPr>
          <w:rFonts w:cs="Times New Roman"/>
          <w:szCs w:val="24"/>
        </w:rPr>
      </w:pPr>
    </w:p>
    <w:p w:rsidR="0001350A" w:rsidRPr="00ED0329" w:rsidRDefault="0001350A">
      <w:pPr>
        <w:rPr>
          <w:rFonts w:cs="Times New Roman"/>
          <w:szCs w:val="24"/>
        </w:rPr>
      </w:pPr>
    </w:p>
    <w:p w:rsidR="0001350A" w:rsidRPr="00ED0329" w:rsidRDefault="0001350A">
      <w:pPr>
        <w:rPr>
          <w:rFonts w:cs="Times New Roman"/>
          <w:szCs w:val="24"/>
        </w:rPr>
      </w:pPr>
    </w:p>
    <w:p w:rsidR="006613A6" w:rsidRPr="00ED0329" w:rsidRDefault="0001350A">
      <w:pPr>
        <w:rPr>
          <w:rFonts w:cs="Times New Roman"/>
          <w:szCs w:val="24"/>
        </w:rPr>
      </w:pPr>
      <w:r w:rsidRPr="00ED0329">
        <w:rPr>
          <w:rFonts w:cs="Times New Roman"/>
          <w:noProof/>
          <w:szCs w:val="24"/>
        </w:rPr>
        <w:drawing>
          <wp:inline distT="0" distB="0" distL="0" distR="0" wp14:anchorId="43A4855F" wp14:editId="19406480">
            <wp:extent cx="5943600" cy="20593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A20" w:rsidRPr="00ED0329" w:rsidRDefault="009F3A20">
      <w:pPr>
        <w:rPr>
          <w:rFonts w:cs="Times New Roman"/>
          <w:szCs w:val="24"/>
        </w:rPr>
      </w:pPr>
    </w:p>
    <w:p w:rsidR="009F3A20" w:rsidRPr="00ED0329" w:rsidRDefault="009F3A20">
      <w:pPr>
        <w:rPr>
          <w:rFonts w:cs="Times New Roman"/>
          <w:szCs w:val="24"/>
        </w:rPr>
      </w:pPr>
    </w:p>
    <w:p w:rsidR="009F3A20" w:rsidRPr="00ED0329" w:rsidRDefault="009F3A20">
      <w:pPr>
        <w:rPr>
          <w:rFonts w:cs="Times New Roman"/>
          <w:szCs w:val="24"/>
        </w:rPr>
      </w:pPr>
    </w:p>
    <w:p w:rsidR="006613A6" w:rsidRPr="00ED0329" w:rsidRDefault="006613A6">
      <w:pPr>
        <w:rPr>
          <w:rFonts w:cs="Times New Roman"/>
          <w:szCs w:val="24"/>
        </w:rPr>
      </w:pPr>
    </w:p>
    <w:p w:rsidR="006613A6" w:rsidRPr="00ED0329" w:rsidRDefault="006613A6">
      <w:pPr>
        <w:rPr>
          <w:rFonts w:cs="Times New Roman"/>
          <w:szCs w:val="24"/>
        </w:rPr>
      </w:pPr>
    </w:p>
    <w:p w:rsidR="006613A6" w:rsidRPr="00ED0329" w:rsidRDefault="009F3A20">
      <w:pPr>
        <w:rPr>
          <w:rFonts w:cs="Times New Roman"/>
          <w:szCs w:val="24"/>
        </w:rPr>
      </w:pPr>
      <w:r w:rsidRPr="00ED0329">
        <w:rPr>
          <w:rFonts w:cs="Times New Roman"/>
          <w:noProof/>
          <w:szCs w:val="24"/>
        </w:rPr>
        <w:lastRenderedPageBreak/>
        <w:drawing>
          <wp:inline distT="0" distB="0" distL="0" distR="0" wp14:anchorId="1EEB8EDE" wp14:editId="2C6BD434">
            <wp:extent cx="5943600" cy="361632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13A6" w:rsidRPr="00ED0329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17C" w:rsidRDefault="00D9017C" w:rsidP="003C12C0">
      <w:pPr>
        <w:spacing w:line="240" w:lineRule="auto"/>
      </w:pPr>
      <w:r>
        <w:separator/>
      </w:r>
    </w:p>
  </w:endnote>
  <w:endnote w:type="continuationSeparator" w:id="0">
    <w:p w:rsidR="00D9017C" w:rsidRDefault="00D9017C" w:rsidP="003C12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17C" w:rsidRDefault="00D9017C" w:rsidP="003C12C0">
      <w:pPr>
        <w:spacing w:line="240" w:lineRule="auto"/>
      </w:pPr>
      <w:r>
        <w:separator/>
      </w:r>
    </w:p>
  </w:footnote>
  <w:footnote w:type="continuationSeparator" w:id="0">
    <w:p w:rsidR="00D9017C" w:rsidRDefault="00D9017C" w:rsidP="003C12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19796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C12C0" w:rsidRDefault="003C12C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3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12C0" w:rsidRDefault="003C12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3A6"/>
    <w:rsid w:val="0001350A"/>
    <w:rsid w:val="0015355E"/>
    <w:rsid w:val="00337B59"/>
    <w:rsid w:val="003C12C0"/>
    <w:rsid w:val="005B2C55"/>
    <w:rsid w:val="006613A6"/>
    <w:rsid w:val="006A5C07"/>
    <w:rsid w:val="00920683"/>
    <w:rsid w:val="0098525C"/>
    <w:rsid w:val="009F3A20"/>
    <w:rsid w:val="00B82567"/>
    <w:rsid w:val="00BB00B2"/>
    <w:rsid w:val="00D348C5"/>
    <w:rsid w:val="00D9017C"/>
    <w:rsid w:val="00E31444"/>
    <w:rsid w:val="00ED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1488F"/>
  <w15:chartTrackingRefBased/>
  <w15:docId w15:val="{DD00CE4E-81F2-4299-8569-7DC4A18B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1444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C5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B2C55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5B2C5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C12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2C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12C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2C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9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0381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0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45682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24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36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00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23199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single" w:sz="6" w:space="8" w:color="000000"/>
                                        <w:left w:val="single" w:sz="6" w:space="31" w:color="000000"/>
                                        <w:bottom w:val="single" w:sz="6" w:space="8" w:color="000000"/>
                                        <w:right w:val="single" w:sz="6" w:space="31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9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38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6084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83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87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40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085588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single" w:sz="6" w:space="8" w:color="000000"/>
                                        <w:left w:val="single" w:sz="6" w:space="31" w:color="000000"/>
                                        <w:bottom w:val="single" w:sz="6" w:space="8" w:color="000000"/>
                                        <w:right w:val="single" w:sz="6" w:space="31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bc.com/2019/07/05/jobs-report-june-2019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inance.yahoo.com/quote/DRI/financials?p=DRI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rketwatch.com/investing/stock/dri/charts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https://www.sec.g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dcterms:created xsi:type="dcterms:W3CDTF">2020-10-04T23:53:00Z</dcterms:created>
  <dcterms:modified xsi:type="dcterms:W3CDTF">2020-10-05T02:57:00Z</dcterms:modified>
</cp:coreProperties>
</file>